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00" w:type="pct"/>
        <w:tblCellSpacing w:w="100" w:type="dxa"/>
        <w:tblLayout w:type="fixed"/>
        <w:tblCellMar>
          <w:top w:w="200" w:type="dxa"/>
          <w:left w:w="0" w:type="dxa"/>
          <w:bottom w:w="200" w:type="dxa"/>
          <w:right w:w="200" w:type="dxa"/>
        </w:tblCellMar>
        <w:tblLook w:val="01E0" w:firstRow="1" w:lastRow="1" w:firstColumn="1" w:lastColumn="1" w:noHBand="0" w:noVBand="0"/>
      </w:tblPr>
      <w:tblGrid>
        <w:gridCol w:w="1989"/>
        <w:gridCol w:w="7371"/>
      </w:tblGrid>
      <w:tr w:rsidR="000D541F" w:rsidRPr="00520784" w14:paraId="157B67FA" w14:textId="77777777" w:rsidTr="00213AC3">
        <w:trPr>
          <w:tblCellSpacing w:w="100" w:type="dxa"/>
        </w:trPr>
        <w:tc>
          <w:tcPr>
            <w:tcW w:w="909" w:type="pct"/>
            <w:tcBorders>
              <w:top w:val="single" w:sz="48" w:space="0" w:color="9DC258"/>
              <w:bottom w:val="single" w:sz="48" w:space="0" w:color="9DC258"/>
              <w:right w:val="single" w:sz="12" w:space="0" w:color="9DC258"/>
            </w:tcBorders>
          </w:tcPr>
          <w:p w14:paraId="6E4A0634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drawing>
                <wp:inline distT="0" distB="0" distL="0" distR="0" wp14:anchorId="3F2085EE" wp14:editId="5DBED4C6">
                  <wp:extent cx="1100455" cy="1100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SA-logo-full-colour-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CD847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3B61D81C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520784">
              <w:rPr>
                <w:rFonts w:ascii="Century Gothic" w:hAnsi="Century Gothic"/>
                <w:b/>
                <w:sz w:val="16"/>
                <w:szCs w:val="16"/>
              </w:rPr>
              <w:t>Graduate Students’</w:t>
            </w:r>
            <w:r w:rsidRPr="00520784">
              <w:rPr>
                <w:rFonts w:ascii="Century Gothic" w:hAnsi="Century Gothic"/>
                <w:b/>
                <w:sz w:val="16"/>
                <w:szCs w:val="16"/>
              </w:rPr>
              <w:br/>
              <w:t>Association</w:t>
            </w:r>
          </w:p>
          <w:p w14:paraId="33AC8C7B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7D960A25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Local 78, Canadian Federation of Students</w:t>
            </w:r>
          </w:p>
          <w:p w14:paraId="001027E1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6D68EBA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 xml:space="preserve">600 </w:t>
            </w:r>
            <w:proofErr w:type="spellStart"/>
            <w:r w:rsidRPr="00520784">
              <w:rPr>
                <w:rFonts w:ascii="Century Gothic" w:hAnsi="Century Gothic"/>
                <w:sz w:val="16"/>
                <w:szCs w:val="16"/>
              </w:rPr>
              <w:t>Unicentre</w:t>
            </w:r>
            <w:proofErr w:type="spellEnd"/>
          </w:p>
          <w:p w14:paraId="702E1A95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Carleton University</w:t>
            </w:r>
          </w:p>
          <w:p w14:paraId="33BEC9A6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1125 Colonel By Drive</w:t>
            </w:r>
          </w:p>
          <w:p w14:paraId="394AAEF6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Ottawa ON  K1S 5B6</w:t>
            </w:r>
          </w:p>
          <w:p w14:paraId="0126DC0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AD4998B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20784">
              <w:rPr>
                <w:rFonts w:ascii="Century Gothic" w:hAnsi="Century Gothic"/>
                <w:sz w:val="16"/>
                <w:szCs w:val="16"/>
              </w:rPr>
              <w:t>tel</w:t>
            </w:r>
            <w:proofErr w:type="spellEnd"/>
            <w:r w:rsidRPr="00520784">
              <w:rPr>
                <w:rFonts w:ascii="Century Gothic" w:hAnsi="Century Gothic"/>
                <w:sz w:val="16"/>
                <w:szCs w:val="16"/>
              </w:rPr>
              <w:t xml:space="preserve"> (613) 520-6616</w:t>
            </w:r>
          </w:p>
          <w:p w14:paraId="59133386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fax (613) 520-3680</w:t>
            </w:r>
          </w:p>
          <w:p w14:paraId="50AC92AA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784">
              <w:rPr>
                <w:rFonts w:ascii="Century Gothic" w:hAnsi="Century Gothic"/>
                <w:sz w:val="16"/>
                <w:szCs w:val="16"/>
              </w:rPr>
              <w:t>gsacarleton.ca</w:t>
            </w:r>
          </w:p>
          <w:p w14:paraId="07836EAF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839EAC4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0F04E13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DF005D1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C1C17B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3CC78E51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EAB9F67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290F146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28F638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11EAFCC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7EF02EF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F4791CD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7B142E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660AB87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5A12D71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135901E6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8AA90B9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227EDD94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78073E7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48F47B47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662A2C0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7AE8158E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348FE2F2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F02293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60F411DF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E5E91A0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5D055308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304F44AE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6C0A9AD4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6DE2AC20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2BF2443B" w14:textId="77777777" w:rsidR="000D541F" w:rsidRPr="00520784" w:rsidRDefault="000D541F" w:rsidP="00213AC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14:paraId="083067F9" w14:textId="77777777" w:rsidR="000D541F" w:rsidRPr="00520784" w:rsidRDefault="000D541F" w:rsidP="00213AC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07" w:type="pct"/>
            <w:tcBorders>
              <w:top w:val="single" w:sz="48" w:space="0" w:color="E6863C"/>
              <w:bottom w:val="single" w:sz="48" w:space="0" w:color="E6863C"/>
            </w:tcBorders>
          </w:tcPr>
          <w:p w14:paraId="7AEE6BD5" w14:textId="77777777" w:rsidR="000D541F" w:rsidRPr="00625BBB" w:rsidRDefault="000D541F" w:rsidP="00213AC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EC25A6" w14:textId="79CBBED9" w:rsidR="00CB6017" w:rsidRPr="00CB6017" w:rsidRDefault="00CB6017" w:rsidP="00213AC3">
            <w:pPr>
              <w:jc w:val="center"/>
              <w:rPr>
                <w:sz w:val="24"/>
                <w:szCs w:val="24"/>
                <w:lang w:eastAsia="en-CA"/>
              </w:rPr>
            </w:pPr>
            <w:r w:rsidRPr="00CB6017">
              <w:rPr>
                <w:rFonts w:ascii="Century Gothic" w:hAnsi="Century Gothic"/>
                <w:color w:val="000000"/>
                <w:sz w:val="24"/>
                <w:szCs w:val="24"/>
                <w:lang w:eastAsia="en-CA"/>
              </w:rPr>
              <w:t xml:space="preserve">JOB POSTING: </w:t>
            </w:r>
            <w:r w:rsidRPr="00CB601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CA"/>
              </w:rPr>
              <w:t>Welcome Weeks</w:t>
            </w:r>
            <w:r>
              <w:rPr>
                <w:rFonts w:ascii="Century Gothic" w:hAnsi="Century Gothic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CB601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CA"/>
              </w:rPr>
              <w:t>Outreach Coordinator</w:t>
            </w:r>
          </w:p>
          <w:p w14:paraId="446D582D" w14:textId="641741DA" w:rsidR="00CB6017" w:rsidRPr="00CB6017" w:rsidRDefault="00CB6017" w:rsidP="00213AC3">
            <w:pPr>
              <w:spacing w:after="240"/>
              <w:rPr>
                <w:sz w:val="24"/>
                <w:szCs w:val="24"/>
                <w:lang w:eastAsia="en-CA"/>
              </w:rPr>
            </w:pPr>
            <w:r w:rsidRPr="00CB6017">
              <w:rPr>
                <w:sz w:val="24"/>
                <w:szCs w:val="24"/>
                <w:lang w:eastAsia="en-CA"/>
              </w:rPr>
              <w:br/>
            </w:r>
            <w:r w:rsidR="0034310A" w:rsidRPr="0034310A">
              <w:rPr>
                <w:sz w:val="24"/>
                <w:szCs w:val="24"/>
                <w:lang w:eastAsia="en-CA"/>
              </w:rPr>
              <w:t xml:space="preserve">The GSA is hiring </w:t>
            </w:r>
            <w:r w:rsidR="0034310A">
              <w:rPr>
                <w:sz w:val="24"/>
                <w:szCs w:val="24"/>
                <w:lang w:eastAsia="en-CA"/>
              </w:rPr>
              <w:t>a</w:t>
            </w:r>
            <w:r w:rsidR="0034310A" w:rsidRPr="0034310A">
              <w:rPr>
                <w:sz w:val="24"/>
                <w:szCs w:val="24"/>
                <w:lang w:eastAsia="en-CA"/>
              </w:rPr>
              <w:t xml:space="preserve"> Welcome Weeks Coordinator! Welcome Weeks are an important part of the graduate student experience at Carleton and requires </w:t>
            </w:r>
            <w:r w:rsidR="0034310A">
              <w:rPr>
                <w:sz w:val="24"/>
                <w:szCs w:val="24"/>
                <w:lang w:eastAsia="en-CA"/>
              </w:rPr>
              <w:t xml:space="preserve">an </w:t>
            </w:r>
            <w:r w:rsidR="0034310A" w:rsidRPr="0034310A">
              <w:rPr>
                <w:sz w:val="24"/>
                <w:szCs w:val="24"/>
                <w:lang w:eastAsia="en-CA"/>
              </w:rPr>
              <w:t>enthusiastic individual to organize academic and social events, workshops, pub nights and campus tours for the upcoming school year!</w:t>
            </w:r>
          </w:p>
          <w:p w14:paraId="31DC8E64" w14:textId="63292001" w:rsidR="00CB6017" w:rsidRPr="00020138" w:rsidRDefault="00CB6017" w:rsidP="00213AC3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 xml:space="preserve">Position Term: Beginning </w:t>
            </w:r>
            <w:r w:rsidR="0034310A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September</w:t>
            </w:r>
            <w:r w:rsid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 xml:space="preserve"> 13</w:t>
            </w:r>
            <w:r w:rsidR="00020138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 xml:space="preserve">, </w:t>
            </w:r>
            <w:r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20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  <w:r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, continuing until </w:t>
            </w:r>
            <w:r w:rsidR="00020138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September 24</w:t>
            </w:r>
            <w:r w:rsidR="00020138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vertAlign w:val="superscript"/>
                <w:lang w:eastAsia="en-CA"/>
              </w:rPr>
              <w:t>th</w:t>
            </w:r>
            <w:r w:rsidR="00020138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,</w:t>
            </w:r>
            <w:r w:rsidR="00A50140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2021</w:t>
            </w:r>
            <w:r w:rsidR="00A50140" w:rsidRPr="0002013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  <w:p w14:paraId="754F5636" w14:textId="77777777" w:rsidR="00CB6017" w:rsidRPr="00CB6017" w:rsidRDefault="00CB6017" w:rsidP="00213AC3">
            <w:pPr>
              <w:rPr>
                <w:sz w:val="24"/>
                <w:szCs w:val="24"/>
                <w:lang w:eastAsia="en-CA"/>
              </w:rPr>
            </w:pP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ab/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ab/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ab/>
            </w:r>
          </w:p>
          <w:p w14:paraId="7FAB452F" w14:textId="7246ED9C" w:rsidR="00CB6017" w:rsidRDefault="00CB6017" w:rsidP="00213AC3">
            <w:pPr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</w:pPr>
            <w:r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Remuneration:</w:t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 An Honorarium of </w:t>
            </w:r>
            <w:r w:rsidR="00020138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>$</w:t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>500</w:t>
            </w:r>
            <w:r w:rsidR="00020138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>/week</w:t>
            </w:r>
          </w:p>
          <w:p w14:paraId="688A07BE" w14:textId="0E0F596E" w:rsidR="00CB6017" w:rsidRPr="00CB6017" w:rsidRDefault="001D5093" w:rsidP="00213AC3">
            <w:pPr>
              <w:rPr>
                <w:sz w:val="24"/>
                <w:szCs w:val="24"/>
                <w:lang w:eastAsia="en-CA"/>
              </w:rPr>
            </w:pPr>
            <w:r w:rsidRPr="001D5093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Number of Hours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: </w:t>
            </w:r>
            <w:r w:rsidR="00F075F2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>20</w:t>
            </w:r>
            <w:r w:rsidR="0046112B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 - 25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 hours/week</w:t>
            </w:r>
          </w:p>
          <w:p w14:paraId="0A8469BE" w14:textId="1B4159E5" w:rsidR="0034310A" w:rsidRDefault="00CB6017" w:rsidP="00213AC3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Number of Positions:</w:t>
            </w:r>
            <w:r w:rsidRPr="00CB6017">
              <w:rPr>
                <w:rFonts w:ascii="Century Gothic" w:hAnsi="Century Gothic"/>
                <w:color w:val="000000"/>
                <w:sz w:val="18"/>
                <w:szCs w:val="18"/>
                <w:lang w:eastAsia="en-CA"/>
              </w:rPr>
              <w:t xml:space="preserve"> 1 </w:t>
            </w:r>
            <w:r w:rsidRPr="00CB601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en-CA"/>
              </w:rPr>
              <w:t>(open only to Carleton graduate students)</w:t>
            </w:r>
          </w:p>
          <w:p w14:paraId="35226090" w14:textId="77777777" w:rsidR="001D5093" w:rsidRPr="001D5093" w:rsidRDefault="001D5093" w:rsidP="00213AC3">
            <w:pPr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eastAsia="en-CA"/>
              </w:rPr>
            </w:pPr>
          </w:p>
          <w:p w14:paraId="2DB80E47" w14:textId="77777777" w:rsidR="0034310A" w:rsidRPr="00213AC3" w:rsidRDefault="0034310A" w:rsidP="00213AC3">
            <w:pPr>
              <w:rPr>
                <w:b/>
                <w:bCs/>
                <w:sz w:val="24"/>
                <w:szCs w:val="24"/>
                <w:lang w:eastAsia="en-CA"/>
              </w:rPr>
            </w:pPr>
            <w:r w:rsidRPr="00213AC3">
              <w:rPr>
                <w:b/>
                <w:bCs/>
                <w:sz w:val="24"/>
                <w:szCs w:val="24"/>
                <w:lang w:eastAsia="en-CA"/>
              </w:rPr>
              <w:t>Overview of the Position</w:t>
            </w:r>
          </w:p>
          <w:p w14:paraId="09088852" w14:textId="77777777" w:rsidR="0034310A" w:rsidRPr="0034310A" w:rsidRDefault="0034310A" w:rsidP="00213AC3">
            <w:pPr>
              <w:rPr>
                <w:sz w:val="24"/>
                <w:szCs w:val="24"/>
                <w:lang w:eastAsia="en-CA"/>
              </w:rPr>
            </w:pPr>
          </w:p>
          <w:p w14:paraId="2762730E" w14:textId="3D9DE412" w:rsidR="0034310A" w:rsidRPr="0034310A" w:rsidRDefault="0034310A" w:rsidP="00213AC3">
            <w:pPr>
              <w:rPr>
                <w:sz w:val="24"/>
                <w:szCs w:val="24"/>
                <w:lang w:eastAsia="en-CA"/>
              </w:rPr>
            </w:pPr>
            <w:r w:rsidRPr="0034310A">
              <w:rPr>
                <w:sz w:val="24"/>
                <w:szCs w:val="24"/>
                <w:lang w:eastAsia="en-CA"/>
              </w:rPr>
              <w:t xml:space="preserve">Work with the </w:t>
            </w:r>
            <w:r w:rsidR="00020138">
              <w:rPr>
                <w:sz w:val="24"/>
                <w:szCs w:val="24"/>
                <w:lang w:eastAsia="en-CA"/>
              </w:rPr>
              <w:t xml:space="preserve">GSA </w:t>
            </w:r>
            <w:r w:rsidR="00BC5F74">
              <w:rPr>
                <w:sz w:val="24"/>
                <w:szCs w:val="24"/>
                <w:lang w:eastAsia="en-CA"/>
              </w:rPr>
              <w:t>e</w:t>
            </w:r>
            <w:r w:rsidR="00020138">
              <w:rPr>
                <w:sz w:val="24"/>
                <w:szCs w:val="24"/>
                <w:lang w:eastAsia="en-CA"/>
              </w:rPr>
              <w:t xml:space="preserve">xecutive and </w:t>
            </w:r>
            <w:r w:rsidR="00BC5F74">
              <w:rPr>
                <w:sz w:val="24"/>
                <w:szCs w:val="24"/>
                <w:lang w:eastAsia="en-CA"/>
              </w:rPr>
              <w:t>s</w:t>
            </w:r>
            <w:r w:rsidR="00020138">
              <w:rPr>
                <w:sz w:val="24"/>
                <w:szCs w:val="24"/>
                <w:lang w:eastAsia="en-CA"/>
              </w:rPr>
              <w:t>taff</w:t>
            </w:r>
            <w:r w:rsidRPr="0034310A">
              <w:rPr>
                <w:sz w:val="24"/>
                <w:szCs w:val="24"/>
                <w:lang w:eastAsia="en-CA"/>
              </w:rPr>
              <w:t xml:space="preserve"> to organize and plan the orientation week program for graduate students</w:t>
            </w:r>
          </w:p>
          <w:p w14:paraId="06E49B95" w14:textId="4E95A6BC" w:rsidR="0034310A" w:rsidRPr="00213AC3" w:rsidRDefault="00020138" w:rsidP="00213AC3">
            <w:pPr>
              <w:pStyle w:val="ListParagraph"/>
              <w:numPr>
                <w:ilvl w:val="0"/>
                <w:numId w:val="5"/>
              </w:numPr>
            </w:pPr>
            <w:r>
              <w:t xml:space="preserve">Assist the </w:t>
            </w:r>
            <w:r w:rsidR="00BC5F74">
              <w:t>e</w:t>
            </w:r>
            <w:r>
              <w:t>xecutive in running various welcome week events</w:t>
            </w:r>
          </w:p>
          <w:p w14:paraId="0B315F26" w14:textId="5B22747B" w:rsidR="0034310A" w:rsidRPr="00213AC3" w:rsidRDefault="0034310A" w:rsidP="00213AC3">
            <w:pPr>
              <w:pStyle w:val="ListParagraph"/>
              <w:numPr>
                <w:ilvl w:val="0"/>
                <w:numId w:val="5"/>
              </w:numPr>
            </w:pPr>
            <w:r w:rsidRPr="00213AC3">
              <w:t>P</w:t>
            </w:r>
            <w:r w:rsidR="00020138">
              <w:t>rovide on-location support (including tabling).</w:t>
            </w:r>
          </w:p>
          <w:p w14:paraId="001BFB3E" w14:textId="4319E347" w:rsidR="0034310A" w:rsidRPr="00213AC3" w:rsidRDefault="00020138" w:rsidP="00213AC3">
            <w:pPr>
              <w:pStyle w:val="ListParagraph"/>
              <w:numPr>
                <w:ilvl w:val="0"/>
                <w:numId w:val="5"/>
              </w:numPr>
            </w:pPr>
            <w:r>
              <w:t>Provide online support</w:t>
            </w:r>
          </w:p>
          <w:p w14:paraId="3789BBBF" w14:textId="77777777" w:rsidR="0034310A" w:rsidRPr="00213AC3" w:rsidRDefault="0034310A" w:rsidP="00213AC3">
            <w:pPr>
              <w:pStyle w:val="ListParagraph"/>
              <w:numPr>
                <w:ilvl w:val="0"/>
                <w:numId w:val="5"/>
              </w:numPr>
            </w:pPr>
            <w:r w:rsidRPr="00213AC3">
              <w:t>Maintain close communication with the GSA executive and staff</w:t>
            </w:r>
          </w:p>
          <w:p w14:paraId="39F456B1" w14:textId="6BE649A9" w:rsidR="0034310A" w:rsidRPr="00213AC3" w:rsidRDefault="00020138" w:rsidP="00213AC3">
            <w:pPr>
              <w:pStyle w:val="ListParagraph"/>
              <w:numPr>
                <w:ilvl w:val="0"/>
                <w:numId w:val="5"/>
              </w:numPr>
            </w:pPr>
            <w:r>
              <w:t>Submit a report at the end of the contract highlighting your experience and recommendations</w:t>
            </w:r>
          </w:p>
          <w:p w14:paraId="125E7525" w14:textId="77777777" w:rsidR="00213AC3" w:rsidRDefault="00213AC3" w:rsidP="00213AC3"/>
          <w:p w14:paraId="6DAEA900" w14:textId="16AD5339" w:rsidR="0034310A" w:rsidRPr="00213AC3" w:rsidRDefault="0034310A" w:rsidP="00213AC3">
            <w:pPr>
              <w:rPr>
                <w:b/>
                <w:bCs/>
                <w:sz w:val="24"/>
                <w:szCs w:val="24"/>
              </w:rPr>
            </w:pPr>
            <w:r w:rsidRPr="00213AC3">
              <w:rPr>
                <w:b/>
                <w:bCs/>
                <w:sz w:val="24"/>
                <w:szCs w:val="24"/>
              </w:rPr>
              <w:t>Essential Skills</w:t>
            </w:r>
          </w:p>
          <w:p w14:paraId="609669FF" w14:textId="77777777" w:rsidR="0034310A" w:rsidRPr="0034310A" w:rsidRDefault="0034310A" w:rsidP="00213AC3">
            <w:pPr>
              <w:rPr>
                <w:sz w:val="24"/>
                <w:szCs w:val="24"/>
                <w:lang w:eastAsia="en-CA"/>
              </w:rPr>
            </w:pPr>
          </w:p>
          <w:p w14:paraId="056D455D" w14:textId="36B30FCD" w:rsidR="0034310A" w:rsidRPr="00213AC3" w:rsidRDefault="0034310A" w:rsidP="00213AC3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3AC3">
              <w:rPr>
                <w:b/>
                <w:bCs/>
              </w:rPr>
              <w:t>Teamwork</w:t>
            </w:r>
            <w:r w:rsidRPr="00213AC3">
              <w:t xml:space="preserve"> -an ideal candidate will have the ambition to pursue projects and assignments (making calls, organizing logistics) independently under the direction of the </w:t>
            </w:r>
            <w:r w:rsidR="00BC5F74">
              <w:t xml:space="preserve">executives and </w:t>
            </w:r>
            <w:r w:rsidRPr="00213AC3">
              <w:t>the Membership Coordinator.</w:t>
            </w:r>
          </w:p>
          <w:p w14:paraId="4C0ABF93" w14:textId="51382742" w:rsidR="0034310A" w:rsidRPr="00213AC3" w:rsidRDefault="0034310A" w:rsidP="00213AC3">
            <w:pPr>
              <w:pStyle w:val="ListParagraph"/>
              <w:numPr>
                <w:ilvl w:val="0"/>
                <w:numId w:val="6"/>
              </w:numPr>
            </w:pPr>
            <w:r w:rsidRPr="00213AC3">
              <w:rPr>
                <w:b/>
                <w:bCs/>
              </w:rPr>
              <w:t>Organization</w:t>
            </w:r>
            <w:r w:rsidRPr="00213AC3">
              <w:t xml:space="preserve"> –</w:t>
            </w:r>
            <w:r w:rsidR="001D5093">
              <w:t xml:space="preserve"> </w:t>
            </w:r>
            <w:r w:rsidR="001D5093" w:rsidRPr="001D5093">
              <w:t>an ideal candidate</w:t>
            </w:r>
            <w:r w:rsidRPr="00213AC3">
              <w:t xml:space="preserve"> will be responsible for planning, preparing</w:t>
            </w:r>
            <w:r w:rsidR="00213AC3">
              <w:t>,</w:t>
            </w:r>
            <w:r w:rsidRPr="00213AC3">
              <w:t xml:space="preserve"> and executing many Welcome Weeks events, workshops, etc.</w:t>
            </w:r>
          </w:p>
          <w:p w14:paraId="53644C7C" w14:textId="4503B999" w:rsidR="0034310A" w:rsidRPr="00213AC3" w:rsidRDefault="0034310A" w:rsidP="00213AC3">
            <w:pPr>
              <w:pStyle w:val="ListParagraph"/>
              <w:numPr>
                <w:ilvl w:val="0"/>
                <w:numId w:val="6"/>
              </w:numPr>
            </w:pPr>
            <w:r w:rsidRPr="00213AC3">
              <w:rPr>
                <w:b/>
                <w:bCs/>
              </w:rPr>
              <w:t>Problem Solving</w:t>
            </w:r>
            <w:r w:rsidRPr="00213AC3">
              <w:t xml:space="preserve"> – when organizing events unexpected occurrences arise. An ideal candidate will demonstrate responsiveness and flexibility </w:t>
            </w:r>
            <w:proofErr w:type="gramStart"/>
            <w:r w:rsidRPr="00213AC3">
              <w:t>in light of</w:t>
            </w:r>
            <w:proofErr w:type="gramEnd"/>
            <w:r w:rsidRPr="00213AC3">
              <w:t xml:space="preserve"> circumstance</w:t>
            </w:r>
            <w:r w:rsidR="00BC5F74">
              <w:t>s.</w:t>
            </w:r>
          </w:p>
          <w:p w14:paraId="49D701F8" w14:textId="4B6AA47E" w:rsidR="0034310A" w:rsidRPr="00213AC3" w:rsidRDefault="0034310A" w:rsidP="00213AC3">
            <w:pPr>
              <w:pStyle w:val="ListParagraph"/>
              <w:numPr>
                <w:ilvl w:val="0"/>
                <w:numId w:val="7"/>
              </w:numPr>
            </w:pPr>
            <w:r w:rsidRPr="00213AC3">
              <w:rPr>
                <w:b/>
                <w:bCs/>
              </w:rPr>
              <w:t>Communication</w:t>
            </w:r>
            <w:r w:rsidRPr="00213AC3">
              <w:t xml:space="preserve"> – effective communication and listening </w:t>
            </w:r>
            <w:proofErr w:type="gramStart"/>
            <w:r w:rsidR="007151EB" w:rsidRPr="00213AC3">
              <w:t>in regard to</w:t>
            </w:r>
            <w:proofErr w:type="gramEnd"/>
            <w:r w:rsidRPr="00213AC3">
              <w:t xml:space="preserve"> interacting with new students as well as communicating with the GSA and fellow team members</w:t>
            </w:r>
          </w:p>
          <w:p w14:paraId="7D05F944" w14:textId="77777777" w:rsidR="00213AC3" w:rsidRDefault="00213AC3" w:rsidP="00213AC3">
            <w:pPr>
              <w:rPr>
                <w:sz w:val="24"/>
                <w:szCs w:val="24"/>
                <w:lang w:eastAsia="en-CA"/>
              </w:rPr>
            </w:pPr>
          </w:p>
          <w:p w14:paraId="6F616A1C" w14:textId="4BADD427" w:rsidR="0034310A" w:rsidRPr="0034310A" w:rsidRDefault="0034310A" w:rsidP="00213AC3">
            <w:pPr>
              <w:rPr>
                <w:sz w:val="24"/>
                <w:szCs w:val="24"/>
                <w:lang w:eastAsia="en-CA"/>
              </w:rPr>
            </w:pPr>
            <w:r w:rsidRPr="0034310A">
              <w:rPr>
                <w:sz w:val="24"/>
                <w:szCs w:val="24"/>
                <w:lang w:eastAsia="en-CA"/>
              </w:rPr>
              <w:lastRenderedPageBreak/>
              <w:t>Deadline</w:t>
            </w:r>
            <w:r w:rsidR="00BC5F74">
              <w:rPr>
                <w:sz w:val="24"/>
                <w:szCs w:val="24"/>
                <w:lang w:eastAsia="en-CA"/>
              </w:rPr>
              <w:t xml:space="preserve"> for Accepting Applications</w:t>
            </w:r>
            <w:r w:rsidRPr="0034310A">
              <w:rPr>
                <w:sz w:val="24"/>
                <w:szCs w:val="24"/>
                <w:lang w:eastAsia="en-CA"/>
              </w:rPr>
              <w:t xml:space="preserve">: </w:t>
            </w:r>
            <w:r w:rsidR="00BC5F74">
              <w:rPr>
                <w:sz w:val="24"/>
                <w:szCs w:val="24"/>
                <w:lang w:eastAsia="en-CA"/>
              </w:rPr>
              <w:t>August 13</w:t>
            </w:r>
            <w:r w:rsidR="00BC5F74" w:rsidRPr="00BC5F74">
              <w:rPr>
                <w:sz w:val="24"/>
                <w:szCs w:val="24"/>
                <w:vertAlign w:val="superscript"/>
                <w:lang w:eastAsia="en-CA"/>
              </w:rPr>
              <w:t>th</w:t>
            </w:r>
            <w:r w:rsidR="00BC5F74">
              <w:rPr>
                <w:sz w:val="24"/>
                <w:szCs w:val="24"/>
                <w:lang w:eastAsia="en-CA"/>
              </w:rPr>
              <w:t>, 2021</w:t>
            </w:r>
          </w:p>
          <w:p w14:paraId="0730A34B" w14:textId="77777777" w:rsidR="0034310A" w:rsidRPr="0034310A" w:rsidRDefault="0034310A" w:rsidP="00213AC3">
            <w:pPr>
              <w:rPr>
                <w:sz w:val="24"/>
                <w:szCs w:val="24"/>
                <w:lang w:eastAsia="en-CA"/>
              </w:rPr>
            </w:pPr>
          </w:p>
          <w:p w14:paraId="6E46C21F" w14:textId="06914330" w:rsidR="0034310A" w:rsidRPr="00CB6017" w:rsidRDefault="0034310A" w:rsidP="00213AC3">
            <w:pPr>
              <w:rPr>
                <w:sz w:val="24"/>
                <w:szCs w:val="24"/>
                <w:lang w:eastAsia="en-CA"/>
              </w:rPr>
            </w:pPr>
            <w:r w:rsidRPr="0034310A">
              <w:rPr>
                <w:sz w:val="24"/>
                <w:szCs w:val="24"/>
                <w:lang w:eastAsia="en-CA"/>
              </w:rPr>
              <w:t>Submit cover letter &amp; resumés (preferably as one document) to: jobs@gsacarleton.ca</w:t>
            </w:r>
            <w:r w:rsidR="00213AC3">
              <w:rPr>
                <w:sz w:val="24"/>
                <w:szCs w:val="24"/>
                <w:lang w:eastAsia="en-CA"/>
              </w:rPr>
              <w:t>.</w:t>
            </w:r>
          </w:p>
          <w:p w14:paraId="55C3B573" w14:textId="77777777" w:rsidR="00CB6017" w:rsidRPr="00CB6017" w:rsidRDefault="00CB6017" w:rsidP="00213AC3">
            <w:pPr>
              <w:rPr>
                <w:sz w:val="24"/>
                <w:szCs w:val="24"/>
                <w:lang w:eastAsia="en-CA"/>
              </w:rPr>
            </w:pPr>
          </w:p>
          <w:p w14:paraId="0680FC90" w14:textId="7FF58DA9" w:rsidR="000D541F" w:rsidRPr="00213AC3" w:rsidRDefault="00213AC3" w:rsidP="00213AC3">
            <w:pPr>
              <w:ind w:hanging="2880"/>
              <w:rPr>
                <w:sz w:val="24"/>
                <w:szCs w:val="24"/>
                <w:lang w:eastAsia="en-CA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59D8C" wp14:editId="401EDA1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240030</wp:posOffset>
                      </wp:positionV>
                      <wp:extent cx="4324350" cy="865505"/>
                      <wp:effectExtent l="0" t="0" r="19050" b="10795"/>
                      <wp:wrapTight wrapText="bothSides">
                        <wp:wrapPolygon edited="0">
                          <wp:start x="0" y="0"/>
                          <wp:lineTo x="0" y="21394"/>
                          <wp:lineTo x="21600" y="21394"/>
                          <wp:lineTo x="21600" y="0"/>
                          <wp:lineTo x="0" y="0"/>
                        </wp:wrapPolygon>
                      </wp:wrapTight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9FA18" w14:textId="77777777" w:rsidR="000D541F" w:rsidRPr="00171FEA" w:rsidRDefault="000D541F" w:rsidP="000D54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71FEA">
                                    <w:rPr>
                                      <w:rFonts w:ascii="Century Gothic" w:hAnsi="Century Gothic" w:cs="Helvetica"/>
                                      <w:color w:val="4C4C4C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GSA values employment and educational equality and welcomes applications from diverse groups including but not limited to: people impacted by gender oppression, Indigenous people, racialized people, people with disabilities and LGBTQQIA2S+.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59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1.55pt;margin-top:18.9pt;width:340.5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gmKgIAAFEEAAAOAAAAZHJzL2Uyb0RvYy54bWysVNtu2zAMfR+wfxD0vthx46414hRdugwD&#10;ugvQ7gNkWbaFyaImKbGzry8lu1l2exnmB4EUqUPykPT6ZuwVOQjrJOiSLhcpJUJzqKVuS/rlcffq&#10;ihLnma6ZAi1KehSO3mxevlgPphAZdKBqYQmCaFcMpqSd96ZIEsc70TO3ACM0GhuwPfOo2japLRsQ&#10;vVdJlqaXyQC2Nha4cA5v7yYj3UT8phHcf2oaJzxRJcXcfDxtPKtwJps1K1rLTCf5nAb7hyx6JjUG&#10;PUHdMc/I3srfoHrJLTho/IJDn0DTSC5iDVjNMv2lmoeOGRFrQXKcOdHk/h8s/3j4bImsS5pRolmP&#10;LXoUoydvYCTLLNAzGFeg14NBPz/iPbY5lurMPfCvjmjYdky34tZaGDrBakxvGV4mZ08nHBdAquED&#10;1BiH7T1EoLGxfeAO2SCIjm06nloTcuF4ubrIVhc5mjjari7zPM1jCFY8vzbW+XcCehKEklpsfURn&#10;h3vnQzaseHYJwRwoWe+kUlGxbbVVlhwYjskufjP6T25Kk6Gk13mWTwT8FSKN358geulx3pXssYqT&#10;EysCbW91HafRM6kmGVNWeuYxUDeR6MdqnPtSQX1ERi1Mc417iEIH9jslA850Sd23PbOCEvVeY1eu&#10;l6tVWIKorPLXGSr23FKdW5jmCFVST8kkbv20OHtjZdthpGkONNxiJxsZSQ4tn7Ka88a5jdzPOxYW&#10;41yPXj/+BJsnAAAA//8DAFBLAwQUAAYACAAAACEAuocr7t4AAAAJAQAADwAAAGRycy9kb3ducmV2&#10;LnhtbEyPQU/DMAyF70j8h8hIXBBLt07rKE0nhASC2xgIrlnjtRWJU5KsK/8ec4Kb7ff0/L1qMzkr&#10;Rgyx96RgPstAIDXe9NQqeHt9uF6DiEmT0dYTKvjGCJv6/KzSpfEnesFxl1rBIRRLraBLaSiljE2H&#10;TseZH5BYO/jgdOI1tNIEfeJwZ+Uiy1bS6Z74Q6cHvO+w+dwdnYL18mn8iM/59r1ZHexNuirGx6+g&#10;1OXFdHcLIuGU/szwi8/oUDPT3h/JRGEVLPI5OxXkBTdgvciWfNizseBB1pX836D+AQAA//8DAFBL&#10;AQItABQABgAIAAAAIQC2gziS/gAAAOEBAAATAAAAAAAAAAAAAAAAAAAAAABbQ29udGVudF9UeXBl&#10;c10ueG1sUEsBAi0AFAAGAAgAAAAhADj9If/WAAAAlAEAAAsAAAAAAAAAAAAAAAAALwEAAF9yZWxz&#10;Ly5yZWxzUEsBAi0AFAAGAAgAAAAhAMLs2CYqAgAAUQQAAA4AAAAAAAAAAAAAAAAALgIAAGRycy9l&#10;Mm9Eb2MueG1sUEsBAi0AFAAGAAgAAAAhALqHK+7eAAAACQEAAA8AAAAAAAAAAAAAAAAAhAQAAGRy&#10;cy9kb3ducmV2LnhtbFBLBQYAAAAABAAEAPMAAACPBQAAAAA=&#10;">
                      <v:textbox>
                        <w:txbxContent>
                          <w:p w14:paraId="75A9FA18" w14:textId="77777777" w:rsidR="000D541F" w:rsidRPr="00171FEA" w:rsidRDefault="000D541F" w:rsidP="000D541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71FEA">
                              <w:rPr>
                                <w:rFonts w:ascii="Century Gothic" w:hAnsi="Century Gothic" w:cs="Helvetica"/>
                                <w:color w:val="4C4C4C"/>
                                <w:sz w:val="18"/>
                                <w:szCs w:val="18"/>
                                <w:shd w:val="clear" w:color="auto" w:fill="FFFFFF"/>
                              </w:rPr>
                              <w:t>The GSA values employment and educational equality and welcomes applications from diverse groups including but not limited to: people impacted by gender oppression, Indigenous people, racialized people, people with disabilities and LGBTQQIA2S+.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B6017" w:rsidRPr="00CB6017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CA"/>
              </w:rPr>
              <w:t>Job Description:</w:t>
            </w:r>
          </w:p>
          <w:p w14:paraId="1D65E0C1" w14:textId="05F76BF7" w:rsidR="000D541F" w:rsidRPr="00625BBB" w:rsidRDefault="000D541F" w:rsidP="00213AC3">
            <w:pPr>
              <w:pStyle w:val="Footer"/>
              <w:widowControl/>
              <w:rPr>
                <w:rFonts w:ascii="Century Gothic" w:hAnsi="Century Gothic"/>
                <w:sz w:val="18"/>
                <w:szCs w:val="18"/>
              </w:rPr>
            </w:pPr>
          </w:p>
          <w:p w14:paraId="686C1556" w14:textId="77777777" w:rsidR="000D541F" w:rsidRPr="00520784" w:rsidRDefault="000D541F" w:rsidP="00213AC3">
            <w:pPr>
              <w:pStyle w:val="Footer"/>
              <w:widowControl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625BBB">
              <w:rPr>
                <w:rFonts w:ascii="Century Gothic" w:hAnsi="Century Gothic"/>
                <w:i/>
                <w:sz w:val="18"/>
                <w:szCs w:val="18"/>
              </w:rPr>
              <w:t>Only those who are granted interviews will be contacted.</w:t>
            </w:r>
            <w:r w:rsidRPr="0052078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</w:tr>
    </w:tbl>
    <w:p w14:paraId="3A508C3B" w14:textId="40A0F917" w:rsidR="00F64E8C" w:rsidRDefault="00213AC3">
      <w:r>
        <w:lastRenderedPageBreak/>
        <w:br w:type="textWrapping" w:clear="all"/>
      </w:r>
    </w:p>
    <w:sectPr w:rsidR="00F64E8C" w:rsidSect="00E8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DBB"/>
    <w:multiLevelType w:val="hybridMultilevel"/>
    <w:tmpl w:val="67EAFB16"/>
    <w:lvl w:ilvl="0" w:tplc="3E406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1F6"/>
    <w:multiLevelType w:val="hybridMultilevel"/>
    <w:tmpl w:val="70E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66DD"/>
    <w:multiLevelType w:val="hybridMultilevel"/>
    <w:tmpl w:val="CEBA3F82"/>
    <w:lvl w:ilvl="0" w:tplc="3E406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3D54"/>
    <w:multiLevelType w:val="hybridMultilevel"/>
    <w:tmpl w:val="FDFEA856"/>
    <w:lvl w:ilvl="0" w:tplc="3E406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76F5"/>
    <w:multiLevelType w:val="multilevel"/>
    <w:tmpl w:val="D7A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E5368"/>
    <w:multiLevelType w:val="hybridMultilevel"/>
    <w:tmpl w:val="E40C652E"/>
    <w:lvl w:ilvl="0" w:tplc="5D8E77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3889"/>
    <w:multiLevelType w:val="multilevel"/>
    <w:tmpl w:val="2E82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875A6"/>
    <w:multiLevelType w:val="hybridMultilevel"/>
    <w:tmpl w:val="35928054"/>
    <w:lvl w:ilvl="0" w:tplc="3E406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F"/>
    <w:rsid w:val="00020138"/>
    <w:rsid w:val="000D541F"/>
    <w:rsid w:val="001D5093"/>
    <w:rsid w:val="00202D6E"/>
    <w:rsid w:val="00213AC3"/>
    <w:rsid w:val="0034310A"/>
    <w:rsid w:val="0046112B"/>
    <w:rsid w:val="004E0D26"/>
    <w:rsid w:val="00601E40"/>
    <w:rsid w:val="00707147"/>
    <w:rsid w:val="007151EB"/>
    <w:rsid w:val="00990772"/>
    <w:rsid w:val="00A50140"/>
    <w:rsid w:val="00A5666B"/>
    <w:rsid w:val="00BC5F74"/>
    <w:rsid w:val="00CB6017"/>
    <w:rsid w:val="00D553E7"/>
    <w:rsid w:val="00E031D0"/>
    <w:rsid w:val="00E86FD6"/>
    <w:rsid w:val="00F075F2"/>
    <w:rsid w:val="00F07A24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35FB"/>
  <w15:docId w15:val="{C42935EC-1530-4312-B819-B270419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541F"/>
    <w:pPr>
      <w:widowControl w:val="0"/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0D541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541F"/>
    <w:pPr>
      <w:ind w:left="720"/>
      <w:contextualSpacing/>
    </w:pPr>
    <w:rPr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1F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vpoperations</dc:creator>
  <cp:lastModifiedBy>Benjamin Segobaetso</cp:lastModifiedBy>
  <cp:revision>2</cp:revision>
  <dcterms:created xsi:type="dcterms:W3CDTF">2021-08-06T14:47:00Z</dcterms:created>
  <dcterms:modified xsi:type="dcterms:W3CDTF">2021-08-06T14:47:00Z</dcterms:modified>
</cp:coreProperties>
</file>